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 7</w:t>
      </w:r>
    </w:p>
    <w:p>
      <w:pPr>
        <w:pStyle w:val="Normal"/>
        <w:jc w:val="right"/>
        <w:rPr>
          <w:sz w:val="28"/>
          <w:szCs w:val="20"/>
        </w:rPr>
      </w:pPr>
      <w:r>
        <w:rPr>
          <w:sz w:val="28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sz w:val="28"/>
          <w:szCs w:val="20"/>
        </w:rPr>
        <w:drawing>
          <wp:inline distT="0" distB="0" distL="0" distR="0">
            <wp:extent cx="1543050" cy="10763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sz w:val="28"/>
          <w:szCs w:val="20"/>
        </w:rPr>
        <w:t xml:space="preserve">                                                                                                          </w:t>
      </w:r>
    </w:p>
    <w:p>
      <w:pPr>
        <w:pStyle w:val="Normal"/>
        <w:tabs>
          <w:tab w:val="left" w:pos="7590" w:leader="none"/>
        </w:tabs>
        <w:rPr>
          <w:b/>
          <w:b/>
        </w:rPr>
      </w:pPr>
      <w:r>
        <w:rPr>
          <w:b/>
          <w:sz w:val="28"/>
          <w:szCs w:val="28"/>
        </w:rPr>
        <w:tab/>
      </w:r>
      <w:r>
        <w:rPr>
          <w:bCs/>
          <w:sz w:val="20"/>
          <w:szCs w:val="20"/>
        </w:rPr>
        <w:t xml:space="preserve">от 00.00.2025         № </w:t>
      </w:r>
    </w:p>
    <w:p>
      <w:pPr>
        <w:pStyle w:val="Normal"/>
        <w:ind w:firstLine="300"/>
        <w:jc w:val="center"/>
        <w:rPr>
          <w:b/>
          <w:b/>
          <w:sz w:val="28"/>
        </w:rPr>
      </w:pPr>
      <w:r>
        <w:rPr>
          <w:b/>
          <w:sz w:val="28"/>
        </w:rPr>
        <w:t xml:space="preserve">Программа </w:t>
      </w:r>
    </w:p>
    <w:p>
      <w:pPr>
        <w:pStyle w:val="Normal"/>
        <w:ind w:firstLine="300"/>
        <w:jc w:val="center"/>
        <w:rPr>
          <w:sz w:val="28"/>
        </w:rPr>
      </w:pPr>
      <w:r>
        <w:rPr>
          <w:b/>
          <w:sz w:val="28"/>
        </w:rPr>
        <w:t xml:space="preserve">муниципальных внутренних заимствований </w:t>
      </w:r>
    </w:p>
    <w:p>
      <w:pPr>
        <w:pStyle w:val="Normal"/>
        <w:ind w:firstLine="300"/>
        <w:jc w:val="center"/>
        <w:rPr>
          <w:sz w:val="28"/>
        </w:rPr>
      </w:pPr>
      <w:r>
        <w:rPr>
          <w:b/>
          <w:sz w:val="28"/>
        </w:rPr>
        <w:t>МО «Сельское поселение Успенский сельсовет Ахтубинского муниципального района Астраханской области» на 2024 год</w:t>
      </w:r>
    </w:p>
    <w:p>
      <w:pPr>
        <w:pStyle w:val="Normal"/>
        <w:ind w:firstLine="300"/>
        <w:jc w:val="center"/>
        <w:rPr>
          <w:sz w:val="28"/>
        </w:rPr>
      </w:pPr>
      <w:r>
        <w:rPr>
          <w:b/>
          <w:sz w:val="28"/>
        </w:rPr>
        <w:t> </w:t>
      </w:r>
    </w:p>
    <w:p>
      <w:pPr>
        <w:pStyle w:val="Normal"/>
        <w:ind w:firstLine="300"/>
        <w:jc w:val="center"/>
        <w:rPr/>
      </w:pPr>
      <w:r>
        <w:rPr/>
      </w:r>
    </w:p>
    <w:p>
      <w:pPr>
        <w:pStyle w:val="Normal"/>
        <w:ind w:right="543" w:firstLine="300"/>
        <w:jc w:val="right"/>
        <w:rPr>
          <w:sz w:val="22"/>
          <w:szCs w:val="22"/>
        </w:rPr>
      </w:pPr>
      <w:r>
        <w:rPr/>
        <w:t> </w:t>
      </w:r>
      <w:r>
        <w:rPr>
          <w:sz w:val="22"/>
          <w:szCs w:val="22"/>
        </w:rPr>
        <w:t>тыс.  руб.</w:t>
      </w:r>
    </w:p>
    <w:p>
      <w:pPr>
        <w:pStyle w:val="Normal"/>
        <w:rPr/>
      </w:pPr>
      <w:r>
        <w:rPr/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3">
                <wp:simplePos x="0" y="0"/>
                <wp:positionH relativeFrom="margin">
                  <wp:align>center</wp:align>
                </wp:positionH>
                <wp:positionV relativeFrom="paragraph">
                  <wp:posOffset>107315</wp:posOffset>
                </wp:positionV>
                <wp:extent cx="6057900" cy="3578225"/>
                <wp:effectExtent l="0" t="0" r="0" b="0"/>
                <wp:wrapSquare wrapText="bothSides"/>
                <wp:docPr id="2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3578225"/>
                        </a:xfrm>
                        <a:prstGeom prst="rect"/>
                      </wps:spPr>
                      <wps:txbx>
                        <w:txbxContent>
                          <w:tbl>
                            <w:tblPr>
                              <w:tblpPr w:bottomFromText="0" w:horzAnchor="margin" w:leftFromText="180" w:rightFromText="180" w:tblpX="0" w:tblpXSpec="center" w:tblpY="169" w:topFromText="0" w:vertAnchor="text"/>
                              <w:tblW w:w="9540" w:type="dxa"/>
                              <w:jc w:val="center"/>
                              <w:tblInd w:w="0" w:type="dxa"/>
                              <w:tblBorders>
                                <w:top w:val="single" w:sz="4" w:space="0" w:color="00000A"/>
                                <w:left w:val="single" w:sz="4" w:space="0" w:color="00000A"/>
                                <w:right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top w:w="0" w:type="dxa"/>
                                <w:left w:w="103" w:type="dxa"/>
                                <w:bottom w:w="0" w:type="dxa"/>
                                <w:right w:w="108" w:type="dxa"/>
                              </w:tblCellMar>
                              <w:tblLook w:firstRow="1" w:noVBand="1" w:lastRow="0" w:firstColumn="1" w:lastColumn="0" w:noHBand="0" w:val="04a0"/>
                            </w:tblPr>
                            <w:tblGrid>
                              <w:gridCol w:w="7460"/>
                              <w:gridCol w:w="2079"/>
                            </w:tblGrid>
                            <w:tr>
                              <w:trPr>
                                <w:trHeight w:val="750" w:hRule="atLeast"/>
                              </w:trPr>
                              <w:tc>
                                <w:tcPr>
                                  <w:tcW w:w="746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103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Внутренние заимствования (привлечение/погашение)</w:t>
                                  </w:r>
                                </w:p>
                              </w:tc>
                              <w:tc>
                                <w:tcPr>
                                  <w:tcW w:w="2079" w:type="dxa"/>
                                  <w:tcBorders>
                                    <w:top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Сумма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746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103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079" w:type="dxa"/>
                                  <w:tcBorders>
                                    <w:top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746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103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Кредиты от других бюджетов бюджетной системы РФ</w:t>
                                  </w:r>
                                </w:p>
                              </w:tc>
                              <w:tc>
                                <w:tcPr>
                                  <w:tcW w:w="2079" w:type="dxa"/>
                                  <w:tcBorders>
                                    <w:top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0,0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746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103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rFonts w:eastAsia="Calibri"/>
                                      <w:bCs/>
                                      <w:szCs w:val="28"/>
                                      <w:lang w:eastAsia="en-US"/>
                                    </w:rPr>
                                    <w:t>объем привлечения</w:t>
                                  </w:r>
                                </w:p>
                              </w:tc>
                              <w:tc>
                                <w:tcPr>
                                  <w:tcW w:w="2079" w:type="dxa"/>
                                  <w:tcBorders>
                                    <w:top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0,0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746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103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rFonts w:eastAsia="Calibri"/>
                                      <w:bCs/>
                                      <w:szCs w:val="28"/>
                                      <w:lang w:eastAsia="en-US"/>
                                    </w:rPr>
                                    <w:t>объем средств, направляемых на погашение основной суммы долга</w:t>
                                  </w:r>
                                </w:p>
                              </w:tc>
                              <w:tc>
                                <w:tcPr>
                                  <w:tcW w:w="2079" w:type="dxa"/>
                                  <w:tcBorders>
                                    <w:top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0,0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50" w:hRule="atLeast"/>
                              </w:trPr>
                              <w:tc>
                                <w:tcPr>
                                  <w:tcW w:w="746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103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Кредиты кредитных организаций в валюте Российской Федерации</w:t>
                                  </w:r>
                                </w:p>
                              </w:tc>
                              <w:tc>
                                <w:tcPr>
                                  <w:tcW w:w="2079" w:type="dxa"/>
                                  <w:tcBorders>
                                    <w:top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0,0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7460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103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привлечение средств</w:t>
                                  </w:r>
                                </w:p>
                              </w:tc>
                              <w:tc>
                                <w:tcPr>
                                  <w:tcW w:w="2079" w:type="dxa"/>
                                  <w:tcBorders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0,0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7460" w:type="dxa"/>
                                  <w:tcBorders>
                                    <w:left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103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/>
                                    <w:t>погашение основного долга</w:t>
                                  </w:r>
                                </w:p>
                              </w:tc>
                              <w:tc>
                                <w:tcPr>
                                  <w:tcW w:w="2079" w:type="dxa"/>
                                  <w:tcBorders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0,0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125" w:hRule="atLeast"/>
                              </w:trPr>
                              <w:tc>
                                <w:tcPr>
                                  <w:tcW w:w="746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103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                      </w:r>
                                </w:p>
                              </w:tc>
                              <w:tc>
                                <w:tcPr>
                                  <w:tcW w:w="2079" w:type="dxa"/>
                                  <w:tcBorders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0,0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7460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103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получение</w:t>
                                  </w:r>
                                </w:p>
                              </w:tc>
                              <w:tc>
                                <w:tcPr>
                                  <w:tcW w:w="2079" w:type="dxa"/>
                                  <w:tcBorders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0,0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7460" w:type="dxa"/>
                                  <w:tcBorders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103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0" w:name="__UnoMark__123_933739367"/>
                                  <w:bookmarkStart w:id="1" w:name="__UnoMark__124_933739367"/>
                                  <w:bookmarkEnd w:id="0"/>
                                  <w:bookmarkEnd w:id="1"/>
                                  <w:r>
                                    <w:rPr/>
                                    <w:t xml:space="preserve">погашение </w:t>
                                  </w:r>
                                </w:p>
                              </w:tc>
                              <w:tc>
                                <w:tcPr>
                                  <w:tcW w:w="2079" w:type="dxa"/>
                                  <w:tcBorders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" w:name="__UnoMark__125_933739367"/>
                                  <w:bookmarkEnd w:id="2"/>
                                  <w:r>
                                    <w:rPr/>
                                    <w:t>0,0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477pt;height:281.75pt;mso-wrap-distance-left:9pt;mso-wrap-distance-right:9pt;mso-wrap-distance-top:0pt;mso-wrap-distance-bottom:0pt;margin-top:8.45pt;mso-position-vertical-relative:text;margin-left:9.5pt;mso-position-horizontal:center;mso-position-horizontal-relative:margin">
                <v:textbox inset="0in,0in,0in,0in">
                  <w:txbxContent>
                    <w:tbl>
                      <w:tblPr>
                        <w:tblpPr w:bottomFromText="0" w:horzAnchor="margin" w:leftFromText="180" w:rightFromText="180" w:tblpX="0" w:tblpXSpec="center" w:tblpY="169" w:topFromText="0" w:vertAnchor="text"/>
                        <w:tblW w:w="9540" w:type="dxa"/>
                        <w:jc w:val="center"/>
                        <w:tblInd w:w="0" w:type="dxa"/>
                        <w:tblBorders>
                          <w:top w:val="single" w:sz="4" w:space="0" w:color="00000A"/>
                          <w:left w:val="single" w:sz="4" w:space="0" w:color="00000A"/>
                          <w:right w:val="single" w:sz="4" w:space="0" w:color="00000A"/>
                          <w:insideV w:val="single" w:sz="4" w:space="0" w:color="00000A"/>
                        </w:tblBorders>
                        <w:tblCellMar>
                          <w:top w:w="0" w:type="dxa"/>
                          <w:left w:w="103" w:type="dxa"/>
                          <w:bottom w:w="0" w:type="dxa"/>
                          <w:right w:w="108" w:type="dxa"/>
                        </w:tblCellMar>
                        <w:tblLook w:firstRow="1" w:noVBand="1" w:lastRow="0" w:firstColumn="1" w:lastColumn="0" w:noHBand="0" w:val="04a0"/>
                      </w:tblPr>
                      <w:tblGrid>
                        <w:gridCol w:w="7460"/>
                        <w:gridCol w:w="2079"/>
                      </w:tblGrid>
                      <w:tr>
                        <w:trPr>
                          <w:trHeight w:val="750" w:hRule="atLeast"/>
                        </w:trPr>
                        <w:tc>
                          <w:tcPr>
                            <w:tcW w:w="7460" w:type="dxa"/>
                            <w:tcBorders>
                              <w:top w:val="single" w:sz="4" w:space="0" w:color="00000A"/>
                              <w:left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103" w:type="dxa"/>
                            </w:tcMar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Внутренние заимствования (привлечение/погашение)</w:t>
                            </w:r>
                          </w:p>
                        </w:tc>
                        <w:tc>
                          <w:tcPr>
                            <w:tcW w:w="2079" w:type="dxa"/>
                            <w:tcBorders>
                              <w:top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Сумма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7460" w:type="dxa"/>
                            <w:tcBorders>
                              <w:top w:val="single" w:sz="4" w:space="0" w:color="00000A"/>
                              <w:left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103" w:type="dxa"/>
                            </w:tcMar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1</w:t>
                            </w:r>
                          </w:p>
                        </w:tc>
                        <w:tc>
                          <w:tcPr>
                            <w:tcW w:w="2079" w:type="dxa"/>
                            <w:tcBorders>
                              <w:top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2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7460" w:type="dxa"/>
                            <w:tcBorders>
                              <w:top w:val="single" w:sz="4" w:space="0" w:color="00000A"/>
                              <w:left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103" w:type="dxa"/>
                            </w:tcMar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b/>
                                <w:bCs/>
                              </w:rPr>
                              <w:t>Кредиты от других бюджетов бюджетной системы РФ</w:t>
                            </w:r>
                          </w:p>
                        </w:tc>
                        <w:tc>
                          <w:tcPr>
                            <w:tcW w:w="2079" w:type="dxa"/>
                            <w:tcBorders>
                              <w:top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>
                                <w:b/>
                                <w:bCs/>
                              </w:rPr>
                              <w:t>0,0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7460" w:type="dxa"/>
                            <w:tcBorders>
                              <w:top w:val="single" w:sz="4" w:space="0" w:color="00000A"/>
                              <w:left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103" w:type="dxa"/>
                            </w:tcMar>
                          </w:tcPr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rFonts w:eastAsia="Calibri"/>
                                <w:bCs/>
                                <w:szCs w:val="28"/>
                                <w:lang w:eastAsia="en-US"/>
                              </w:rPr>
                              <w:t>объем привлечения</w:t>
                            </w:r>
                          </w:p>
                        </w:tc>
                        <w:tc>
                          <w:tcPr>
                            <w:tcW w:w="2079" w:type="dxa"/>
                            <w:tcBorders>
                              <w:top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0,0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7460" w:type="dxa"/>
                            <w:tcBorders>
                              <w:top w:val="single" w:sz="4" w:space="0" w:color="00000A"/>
                              <w:left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103" w:type="dxa"/>
                            </w:tcMar>
                          </w:tcPr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rFonts w:eastAsia="Calibri"/>
                                <w:bCs/>
                                <w:szCs w:val="28"/>
                                <w:lang w:eastAsia="en-US"/>
                              </w:rPr>
                              <w:t>объем средств, направляемых на погашение основной суммы долга</w:t>
                            </w:r>
                          </w:p>
                        </w:tc>
                        <w:tc>
                          <w:tcPr>
                            <w:tcW w:w="2079" w:type="dxa"/>
                            <w:tcBorders>
                              <w:top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0,0</w:t>
                            </w:r>
                          </w:p>
                        </w:tc>
                      </w:tr>
                      <w:tr>
                        <w:trPr>
                          <w:trHeight w:val="750" w:hRule="atLeast"/>
                        </w:trPr>
                        <w:tc>
                          <w:tcPr>
                            <w:tcW w:w="746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103" w:type="dxa"/>
                            </w:tcMar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b/>
                                <w:bCs/>
                              </w:rPr>
                              <w:t>Кредиты кредитных организаций в валюте Российской Федерации</w:t>
                            </w:r>
                          </w:p>
                        </w:tc>
                        <w:tc>
                          <w:tcPr>
                            <w:tcW w:w="2079" w:type="dxa"/>
                            <w:tcBorders>
                              <w:top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>
                                <w:b/>
                                <w:bCs/>
                              </w:rPr>
                              <w:t>0,0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7460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103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привлечение средств</w:t>
                            </w:r>
                          </w:p>
                        </w:tc>
                        <w:tc>
                          <w:tcPr>
                            <w:tcW w:w="2079" w:type="dxa"/>
                            <w:tcBorders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0,0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7460" w:type="dxa"/>
                            <w:tcBorders>
                              <w:left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103" w:type="dxa"/>
                            </w:tcMar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/>
                              <w:t>погашение основного долга</w:t>
                            </w:r>
                          </w:p>
                        </w:tc>
                        <w:tc>
                          <w:tcPr>
                            <w:tcW w:w="2079" w:type="dxa"/>
                            <w:tcBorders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0,0</w:t>
                            </w:r>
                          </w:p>
                        </w:tc>
                      </w:tr>
                      <w:tr>
                        <w:trPr>
                          <w:trHeight w:val="1125" w:hRule="atLeast"/>
                        </w:trPr>
                        <w:tc>
                          <w:tcPr>
                            <w:tcW w:w="746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103" w:type="dxa"/>
                            </w:tcMar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b/>
                                <w:bCs/>
                              </w:rPr>
                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                </w:r>
                          </w:p>
                        </w:tc>
                        <w:tc>
                          <w:tcPr>
                            <w:tcW w:w="2079" w:type="dxa"/>
                            <w:tcBorders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>
                                <w:b/>
                                <w:bCs/>
                              </w:rPr>
                              <w:t>0,0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7460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103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получение</w:t>
                            </w:r>
                          </w:p>
                        </w:tc>
                        <w:tc>
                          <w:tcPr>
                            <w:tcW w:w="2079" w:type="dxa"/>
                            <w:tcBorders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0,0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7460" w:type="dxa"/>
                            <w:tcBorders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103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" w:name="__UnoMark__123_933739367"/>
                            <w:bookmarkStart w:id="4" w:name="__UnoMark__124_933739367"/>
                            <w:bookmarkEnd w:id="3"/>
                            <w:bookmarkEnd w:id="4"/>
                            <w:r>
                              <w:rPr/>
                              <w:t xml:space="preserve">погашение </w:t>
                            </w:r>
                          </w:p>
                        </w:tc>
                        <w:tc>
                          <w:tcPr>
                            <w:tcW w:w="2079" w:type="dxa"/>
                            <w:tcBorders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" w:name="__UnoMark__125_933739367"/>
                            <w:bookmarkEnd w:id="5"/>
                            <w:r>
                              <w:rPr/>
                              <w:t>0,0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/>
      </w:pPr>
      <w:r>
        <w:rPr/>
        <w:t xml:space="preserve">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</w:t>
      </w:r>
      <w:r>
        <w:rPr/>
        <w:t>Верно:</w:t>
      </w:r>
    </w:p>
    <w:sectPr>
      <w:headerReference w:type="default" r:id="rId3"/>
      <w:footerReference w:type="default" r:id="rId4"/>
      <w:type w:val="nextPage"/>
      <w:pgSz w:w="11906" w:h="16838"/>
      <w:pgMar w:left="1134" w:right="851" w:header="709" w:top="766" w:footer="709" w:bottom="766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85f50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link w:val="a3"/>
    <w:uiPriority w:val="99"/>
    <w:qFormat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link w:val="a5"/>
    <w:uiPriority w:val="99"/>
    <w:qFormat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Style21">
    <w:name w:val="Header"/>
    <w:basedOn w:val="Normal"/>
    <w:link w:val="a4"/>
    <w:uiPriority w:val="99"/>
    <w:rsid w:val="00b85f50"/>
    <w:pPr>
      <w:tabs>
        <w:tab w:val="center" w:pos="4677" w:leader="none"/>
        <w:tab w:val="right" w:pos="9355" w:leader="none"/>
      </w:tabs>
    </w:pPr>
    <w:rPr/>
  </w:style>
  <w:style w:type="paragraph" w:styleId="Style22">
    <w:name w:val="Footer"/>
    <w:basedOn w:val="Normal"/>
    <w:link w:val="a6"/>
    <w:uiPriority w:val="99"/>
    <w:rsid w:val="00b85f50"/>
    <w:pPr>
      <w:tabs>
        <w:tab w:val="center" w:pos="4677" w:leader="none"/>
        <w:tab w:val="right" w:pos="9355" w:leader="none"/>
      </w:tabs>
    </w:pPr>
    <w:rPr/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LibreOffice/5.3.0.3$Windows_x86 LibreOffice_project/7074905676c47b82bbcfbea1aeefc84afe1c50e1</Application>
  <Pages>1</Pages>
  <Words>86</Words>
  <Characters>602</Characters>
  <CharactersWithSpaces>928</CharactersWithSpaces>
  <Paragraphs>33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2015-11-17T11:45:00Z</dcterms:created>
  <dc:creator>Бухгалтер</dc:creator>
  <dc:description/>
  <dc:language>ru-RU</dc:language>
  <cp:lastModifiedBy/>
  <dcterms:modified xsi:type="dcterms:W3CDTF">2025-05-28T16:32:56Z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